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FDEC3" w14:textId="7B8577F7" w:rsidR="00946D3B" w:rsidRPr="00954A2A" w:rsidRDefault="00946D3B">
      <w:pPr>
        <w:rPr>
          <w:rFonts w:ascii="Helvetica" w:hAnsi="Helvetica"/>
          <w:b/>
          <w:color w:val="C00000"/>
          <w:sz w:val="28"/>
        </w:rPr>
      </w:pPr>
    </w:p>
    <w:p w14:paraId="72E6120E" w14:textId="77777777" w:rsidR="00E16603" w:rsidRPr="00372F33" w:rsidRDefault="00E16603" w:rsidP="00E16603">
      <w:pPr>
        <w:jc w:val="center"/>
      </w:pPr>
      <w:r w:rsidRPr="00372F33">
        <w:rPr>
          <w:noProof/>
        </w:rPr>
        <w:drawing>
          <wp:anchor distT="0" distB="0" distL="114300" distR="114300" simplePos="0" relativeHeight="251661312" behindDoc="1" locked="0" layoutInCell="1" allowOverlap="1" wp14:anchorId="797C677C" wp14:editId="349B08CB">
            <wp:simplePos x="0" y="0"/>
            <wp:positionH relativeFrom="column">
              <wp:posOffset>2000250</wp:posOffset>
            </wp:positionH>
            <wp:positionV relativeFrom="page">
              <wp:posOffset>381000</wp:posOffset>
            </wp:positionV>
            <wp:extent cx="1901825" cy="950595"/>
            <wp:effectExtent l="0" t="0" r="3175" b="1905"/>
            <wp:wrapTight wrapText="bothSides">
              <wp:wrapPolygon edited="0">
                <wp:start x="0" y="0"/>
                <wp:lineTo x="0" y="21210"/>
                <wp:lineTo x="21420" y="21210"/>
                <wp:lineTo x="21420" y="0"/>
                <wp:lineTo x="0" y="0"/>
              </wp:wrapPolygon>
            </wp:wrapTight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HC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FA5FB" w14:textId="77777777" w:rsidR="00E16603" w:rsidRPr="00372F33" w:rsidRDefault="00E16603" w:rsidP="00E16603"/>
    <w:p w14:paraId="2D9F9AFA" w14:textId="77777777" w:rsidR="00E16603" w:rsidRPr="00372F33" w:rsidRDefault="00E16603" w:rsidP="00E16603">
      <w:r w:rsidRPr="00372F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D1A41" wp14:editId="1DD50688">
                <wp:simplePos x="0" y="0"/>
                <wp:positionH relativeFrom="column">
                  <wp:posOffset>1571625</wp:posOffset>
                </wp:positionH>
                <wp:positionV relativeFrom="paragraph">
                  <wp:posOffset>9525</wp:posOffset>
                </wp:positionV>
                <wp:extent cx="2800350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AAC04" w14:textId="77777777" w:rsidR="00E16603" w:rsidRPr="002A36DB" w:rsidRDefault="00E16603" w:rsidP="00E166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  <w:r w:rsidRPr="002A36D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Safeguarding the Freedom to Choose Homeopathy for All Americans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23.75pt;margin-top:.75pt;width:22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S2Z2JAIAACYEAAAOAAAAZHJzL2Uyb0RvYy54bWysU9tu2zAMfR+wfxD0vti5rYkRp+jSZRjQ XYB2H0DLcixMFjVJiZ19/SglTbPtbZgeBEokjw4PqdXt0Gl2kM4rNCUfj3LOpBFYK7Mr+ben7ZsF Zz6AqUGjkSU/Ss9v169frXpbyAm2qGvpGIEYX/S25G0ItsgyL1rZgR+hlYacDboOAh3dLqsd9ITe 6WyS52+zHl1tHQrpPd3en5x8nfCbRorwpWm8DEyXnLiFtLu0V3HP1isodg5sq8SZBvwDiw6UoUcv UPcQgO2d+guqU8KhxyaMBHYZNo0SMtVA1YzzP6p5bMHKVAuJ4+1FJv//YMXnw1fHVF3yaX7DmYGO mvQkh8De4cAmUZ/e+oLCHi0FhoGuqc+pVm8fUHz3zOCmBbOTd85h30qoid84ZmZXqSccH0Gq/hPW 9AzsAyagoXFdFI/kYIROfTpeehOpCLqcLPJ8OieXIN94lk+Xi3l6A4rndOt8+CCxY9EouaPmJ3g4 PPgQ6UDxHBJf86hVvVVap4PbVRvt2AFoULZpndF/C9OG9fT8MicmMc1gBEhD1KlAk6xVV3KiSivm QxH1eG/qZAdQ+mQTFW3OAkVNTuqEoRpSL5J6UbwK6yMp5vA0uPTRyGjR/eSsp6Etuf+xByc50x8N qb4cz2ZxytNhNr+Z0MFde6prDxhBUCUPnJ3MTUg/I+lh76g7W5V0e2FypkzDmOQ8f5w47dfnFPXy vde/AAAA//8DAFBLAwQUAAYACAAAACEAoKeTldYAAAAGAQAADwAAAGRycy9kb3ducmV2LnhtbEyO TU/DMAyG75P2HyLfWUoFpaqaTupEua8g2DFrTFOtcaok+4BfjznBybaeV6+fentzs7hgiJMnBfeb DATS4M1Eo4K31+6uBBGTJqNnT6jgCyNsm/Wq1pXxV9rjpU+j4BKKlVZgU1oqKeNg0em48QsSs08f nE58hlGaoK9c7maZZ1khnZ6IP1i94M7icOrPTsF76Px39zE+00vbHxK1tm9pr9R6BSLhLf0l4ded vaFhoaM/k4liVpA/PD1ylAEP5kVZ8nJkkOcFyKaW//WbHwAAAP//AwBQSwECLQAUAAYACAAAACEA toM4kv4AAADhAQAAEwAAAAAAAAAAAAAAAAAAAAAAW0NvbnRlbnRfVHlwZXNdLnhtbFBLAQItABQA BgAIAAAAIQA4/SH/1gAAAJQBAAALAAAAAAAAAAAAAAAAAC8BAABfcmVscy8ucmVsc1BLAQItABQA BgAIAAAAIQDjS2Z2JAIAACYEAAAOAAAAAAAAAAAAAAAAAC4CAABkcnMvZTJvRG9jLnhtbFBLAQIt ABQABgAIAAAAIQCgp5OV1gAAAAYBAAAPAAAAAAAAAAAAAAAAAH4EAABkcnMvZG93bnJldi54bWxQ SwUGAAAAAAQABADzAAAAgQUAAAAA " stroked="f" strokeweight="1.5pt">
                <v:textbox style="mso-fit-shape-to-text:t">
                  <w:txbxContent>
                    <w:p w14:paraId="713AAC04" w14:textId="77777777" w:rsidR="00E16603" w:rsidRPr="002A36DB" w:rsidRDefault="00E16603" w:rsidP="00E1660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  <w:r w:rsidRPr="002A36DB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Safeguarding the Freedom to Choose Homeopathy for All Americans</w:t>
                      </w:r>
                    </w:p>
                  </w:txbxContent>
                </v:textbox>
              </v:shape>
            </w:pict>
          </mc:Fallback>
        </mc:AlternateContent>
      </w:r>
    </w:p>
    <w:p w14:paraId="5F0927FC" w14:textId="77777777" w:rsidR="00E16603" w:rsidRPr="00372F33" w:rsidRDefault="00E16603" w:rsidP="00E16603">
      <w:pPr>
        <w:rPr>
          <w:b/>
        </w:rPr>
      </w:pPr>
    </w:p>
    <w:p w14:paraId="7D4FCD1A" w14:textId="77777777" w:rsidR="00E16603" w:rsidRPr="00372F33" w:rsidRDefault="00E16603" w:rsidP="00E16603">
      <w:pPr>
        <w:rPr>
          <w:b/>
        </w:rPr>
      </w:pPr>
      <w:r w:rsidRPr="00372F33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85DDC" wp14:editId="0EE57B38">
                <wp:simplePos x="0" y="0"/>
                <wp:positionH relativeFrom="column">
                  <wp:posOffset>38100</wp:posOffset>
                </wp:positionH>
                <wp:positionV relativeFrom="paragraph">
                  <wp:posOffset>164465</wp:posOffset>
                </wp:positionV>
                <wp:extent cx="58959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D8A9A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2.95pt" to="467.25pt,12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8R/Sx3AEAAA4EAAAOAAAAZHJzL2Uyb0RvYy54bWysU8tu2zAQvBfoPxC815INuEkEyzk4SC9F azTtB9AUaREgucSSteS/75KylaAtUCSoDhQfO7M7w+XmfnSWnRRGA77ly0XNmfISOuOPLf/x/fHD LWcxCd8JC161/Kwiv9++f7cZQqNW0IPtFDIi8bEZQsv7lEJTVVH2yom4gKA8HWpAJxIt8Vh1KAZi d7Za1fXHagDsAoJUMdLuw3TIt4VfayXTV62jSsy2nGpLZcQyHvJYbTeiOaIIvZGXMsQbqnDCeEo6 Uz2IJNhPNH9QOSMRIui0kOAq0NpIVTSQmmX9m5qnXgRVtJA5Mcw2xf9HK7+c9shM1/IVZ144uqKn hMIc+8R24D0ZCMhW2achxIbCd36Pl1UMe8yiR40u/0kOG4u359lbNSYmaXN9e7e+u1lzJq9n1TMw YEyfFDiWJy23xmfZohGnzzFRMgq9huRt69lABdO3LmERrOkejbX5MOLxsLPITiJfeX1T78otE8WL MFpZT7xZ06SizNLZqinBN6XJFap7OWXI/ahmWiGl8mmZXSlMFJ1hmkqYgfW/gZf4DFWlV18DnhEl M/g0g53xgH/LnsZryXqKvzow6c4WHKA7l/st1lDTFYWXB5K7+uW6wJ+f8fYXAAAA//8DAFBLAwQU AAYACAAAACEAtBluceIAAAAMAQAADwAAAGRycy9kb3ducmV2LnhtbEyPS0/DMBCE70j8B2uRuKDW oS/RNE7FQ1RckGha7o69TSLidYjdNvx7FnGAy0q7o5mdL1sPrhUn7EPjScHtOAGBZLxtqFKw3z2P 7kCEqMnq1hMq+MIA6/zyItOp9Wfa4qmIleAQCqlWUMfYpVIGU6PTYew7JNYOvnc68tpX0vb6zOGu lZMkWUinG+IPte7wsUbzURydgk35dvPy8L6bTYvysN+YT/MqfVDq+mp4WvG4X4GIOMQ/B/wwcH/I uVjpj2SDaBUsGCcqmMyXIFheTmdzEOXvQeaZ/A+RfwMAAP//AwBQSwECLQAUAAYACAAAACEAtoM4 kv4AAADhAQAAEwAAAAAAAAAAAAAAAAAAAAAAW0NvbnRlbnRfVHlwZXNdLnhtbFBLAQItABQABgAI AAAAIQA4/SH/1gAAAJQBAAALAAAAAAAAAAAAAAAAAC8BAABfcmVscy8ucmVsc1BLAQItABQABgAI AAAAIQC8R/Sx3AEAAA4EAAAOAAAAAAAAAAAAAAAAAC4CAABkcnMvZTJvRG9jLnhtbFBLAQItABQA BgAIAAAAIQC0GW5x4gAAAAwBAAAPAAAAAAAAAAAAAAAAADYEAABkcnMvZG93bnJldi54bWxQSwUG AAAAAAQABADzAAAARQUAAAAA " strokecolor="#0070c0" strokeweight="1.75pt"/>
            </w:pict>
          </mc:Fallback>
        </mc:AlternateContent>
      </w:r>
    </w:p>
    <w:p w14:paraId="0D609C5F" w14:textId="60097024" w:rsidR="00954A2A" w:rsidRPr="00E16603" w:rsidRDefault="00954A2A">
      <w:pPr>
        <w:rPr>
          <w:rFonts w:ascii="Helvetica" w:hAnsi="Helvetica"/>
        </w:rPr>
      </w:pPr>
    </w:p>
    <w:p w14:paraId="5BCD5512" w14:textId="24FE0180" w:rsidR="00E16603" w:rsidRPr="00E16603" w:rsidRDefault="00B41EE0" w:rsidP="00937CEB">
      <w:pPr>
        <w:pStyle w:val="ListParagraph"/>
        <w:ind w:left="0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>Background</w:t>
      </w:r>
      <w:r w:rsidR="00E16603" w:rsidRPr="00E16603">
        <w:rPr>
          <w:rFonts w:ascii="Helvetica" w:hAnsi="Helvetica"/>
          <w:b/>
          <w:sz w:val="36"/>
        </w:rPr>
        <w:t xml:space="preserve"> for</w:t>
      </w:r>
      <w:r w:rsidR="005A7C03">
        <w:rPr>
          <w:rFonts w:ascii="Helvetica" w:hAnsi="Helvetica"/>
          <w:b/>
          <w:sz w:val="36"/>
        </w:rPr>
        <w:t xml:space="preserve"> Your</w:t>
      </w:r>
      <w:r w:rsidR="00E16603" w:rsidRPr="00E16603">
        <w:rPr>
          <w:rFonts w:ascii="Helvetica" w:hAnsi="Helvetica"/>
          <w:b/>
          <w:sz w:val="36"/>
        </w:rPr>
        <w:t xml:space="preserve"> FDA Comment</w:t>
      </w:r>
    </w:p>
    <w:p w14:paraId="72B65B4B" w14:textId="77777777" w:rsidR="00E16603" w:rsidRDefault="00E16603" w:rsidP="00937CEB">
      <w:pPr>
        <w:pStyle w:val="ListParagraph"/>
        <w:ind w:left="0"/>
      </w:pPr>
    </w:p>
    <w:p w14:paraId="5D2F4CE8" w14:textId="07D77815" w:rsidR="00AD270A" w:rsidRDefault="00E16603" w:rsidP="00937CEB">
      <w:pPr>
        <w:pStyle w:val="ListParagraph"/>
        <w:ind w:left="0"/>
      </w:pPr>
      <w:r>
        <w:t xml:space="preserve">Below is </w:t>
      </w:r>
      <w:r w:rsidR="00A52D84">
        <w:t>some background</w:t>
      </w:r>
      <w:r>
        <w:t xml:space="preserve"> to help you construct your own comment to the FDA while highlighting key</w:t>
      </w:r>
      <w:r w:rsidR="005A7C03">
        <w:t xml:space="preserve"> issu</w:t>
      </w:r>
      <w:r w:rsidR="00BF2C58">
        <w:t>es relating to the most recent Draft G</w:t>
      </w:r>
      <w:r w:rsidR="005A7C03">
        <w:t>uidance</w:t>
      </w:r>
      <w:r w:rsidR="00827DA6">
        <w:t>. You can write a comment that covers all of them</w:t>
      </w:r>
      <w:r w:rsidR="00B41EE0">
        <w:t xml:space="preserve"> </w:t>
      </w:r>
      <w:r w:rsidR="00827DA6">
        <w:t>or you can focus on just a few points</w:t>
      </w:r>
      <w:r w:rsidR="00BF2C58">
        <w:t xml:space="preserve">. </w:t>
      </w:r>
      <w:r w:rsidR="00AD270A">
        <w:t xml:space="preserve">Keep in mind that on the comment form you are limited to 5,000 characters including spaces. The form will let you know whether you are </w:t>
      </w:r>
      <w:proofErr w:type="gramStart"/>
      <w:r w:rsidR="00AD270A">
        <w:t>over or under</w:t>
      </w:r>
      <w:proofErr w:type="gramEnd"/>
      <w:r w:rsidR="00AD270A">
        <w:t xml:space="preserve">. </w:t>
      </w:r>
    </w:p>
    <w:p w14:paraId="5619288B" w14:textId="77777777" w:rsidR="00AD270A" w:rsidRDefault="00AD270A" w:rsidP="00937CEB">
      <w:pPr>
        <w:pStyle w:val="ListParagraph"/>
        <w:ind w:left="0"/>
      </w:pPr>
    </w:p>
    <w:p w14:paraId="2199A2B3" w14:textId="77777777" w:rsidR="001C5A40" w:rsidRDefault="00827DA6" w:rsidP="00937CEB">
      <w:pPr>
        <w:pStyle w:val="ListParagraph"/>
        <w:ind w:left="0"/>
        <w:rPr>
          <w:b/>
        </w:rPr>
      </w:pPr>
      <w:r w:rsidRPr="00827DA6">
        <w:rPr>
          <w:b/>
        </w:rPr>
        <w:t>If you have a personal story that illustrates an important point, that</w:t>
      </w:r>
      <w:r w:rsidR="004B5EEF">
        <w:rPr>
          <w:b/>
        </w:rPr>
        <w:t xml:space="preserve"> story</w:t>
      </w:r>
      <w:r w:rsidRPr="00827DA6">
        <w:rPr>
          <w:b/>
        </w:rPr>
        <w:t xml:space="preserve"> can be much more effective than simply covering all the point</w:t>
      </w:r>
      <w:r>
        <w:rPr>
          <w:b/>
        </w:rPr>
        <w:t>s</w:t>
      </w:r>
      <w:r w:rsidRPr="00827DA6">
        <w:rPr>
          <w:b/>
        </w:rPr>
        <w:t xml:space="preserve"> listed below.</w:t>
      </w:r>
      <w:r w:rsidR="00E55919">
        <w:rPr>
          <w:b/>
        </w:rPr>
        <w:t xml:space="preserve"> </w:t>
      </w:r>
    </w:p>
    <w:p w14:paraId="03719CD7" w14:textId="77777777" w:rsidR="001C5A40" w:rsidRDefault="001C5A40" w:rsidP="00937CEB">
      <w:pPr>
        <w:pStyle w:val="ListParagraph"/>
        <w:ind w:left="0"/>
        <w:rPr>
          <w:b/>
        </w:rPr>
      </w:pPr>
    </w:p>
    <w:p w14:paraId="56A917B0" w14:textId="77777777" w:rsidR="001C5A40" w:rsidRPr="001C5A40" w:rsidRDefault="00E55919" w:rsidP="001C5A40">
      <w:pPr>
        <w:pStyle w:val="ListParagraph"/>
        <w:numPr>
          <w:ilvl w:val="0"/>
          <w:numId w:val="13"/>
        </w:numPr>
      </w:pPr>
      <w:r w:rsidRPr="001C5A40">
        <w:t>We ask you NOT to use stories about cancer</w:t>
      </w:r>
      <w:r w:rsidR="001C5A40" w:rsidRPr="001C5A40">
        <w:t xml:space="preserve"> as </w:t>
      </w:r>
      <w:proofErr w:type="gramStart"/>
      <w:r w:rsidR="001C5A40" w:rsidRPr="001C5A40">
        <w:t>this</w:t>
      </w:r>
      <w:proofErr w:type="gramEnd"/>
      <w:r w:rsidR="001C5A40" w:rsidRPr="001C5A40">
        <w:t xml:space="preserve"> remains very controversial.</w:t>
      </w:r>
    </w:p>
    <w:p w14:paraId="56A9906D" w14:textId="77777777" w:rsidR="001C5A40" w:rsidRPr="001C5A40" w:rsidRDefault="001C5A40" w:rsidP="00937CEB">
      <w:pPr>
        <w:pStyle w:val="ListParagraph"/>
        <w:ind w:left="0"/>
      </w:pPr>
    </w:p>
    <w:p w14:paraId="7B534007" w14:textId="11E93B9B" w:rsidR="00E16603" w:rsidRPr="001C5A40" w:rsidRDefault="001C5A40" w:rsidP="001C5A40">
      <w:pPr>
        <w:pStyle w:val="ListParagraph"/>
        <w:numPr>
          <w:ilvl w:val="0"/>
          <w:numId w:val="13"/>
        </w:numPr>
      </w:pPr>
      <w:r>
        <w:t>D</w:t>
      </w:r>
      <w:r w:rsidRPr="001C5A40">
        <w:t>o NOT criticize pharmaceuticals</w:t>
      </w:r>
      <w:r>
        <w:t xml:space="preserve"> except that you may relate a situation in which</w:t>
      </w:r>
      <w:r w:rsidRPr="001C5A40">
        <w:t xml:space="preserve"> pharmaceuticals were giving you unpleasant </w:t>
      </w:r>
      <w:proofErr w:type="gramStart"/>
      <w:r w:rsidRPr="001C5A40">
        <w:t>side-effects</w:t>
      </w:r>
      <w:proofErr w:type="gramEnd"/>
      <w:r w:rsidRPr="001C5A40">
        <w:t xml:space="preserve"> and switch</w:t>
      </w:r>
      <w:r>
        <w:t>ing</w:t>
      </w:r>
      <w:r w:rsidRPr="001C5A40">
        <w:t xml:space="preserve"> to homeopathic medicines</w:t>
      </w:r>
      <w:r>
        <w:t xml:space="preserve"> allowed the side-effects to go away.</w:t>
      </w:r>
    </w:p>
    <w:p w14:paraId="2EFFBE25" w14:textId="77777777" w:rsidR="00827DA6" w:rsidRDefault="00827DA6" w:rsidP="00937CEB">
      <w:pPr>
        <w:pStyle w:val="ListParagraph"/>
        <w:ind w:left="0"/>
      </w:pPr>
    </w:p>
    <w:p w14:paraId="242E5148" w14:textId="13601C61" w:rsidR="00827DA6" w:rsidRPr="00DD21BA" w:rsidRDefault="00FF39D9" w:rsidP="00937CEB">
      <w:pPr>
        <w:pStyle w:val="ListParagraph"/>
        <w:ind w:left="0"/>
        <w:rPr>
          <w:b/>
        </w:rPr>
      </w:pPr>
      <w:r w:rsidRPr="00BF2C58">
        <w:rPr>
          <w:b/>
        </w:rPr>
        <w:t xml:space="preserve">At this time, </w:t>
      </w:r>
      <w:r w:rsidRPr="00BF2C58">
        <w:rPr>
          <w:b/>
          <w:bCs/>
        </w:rPr>
        <w:t>t</w:t>
      </w:r>
      <w:r w:rsidR="00DD21BA" w:rsidRPr="00BF2C58">
        <w:rPr>
          <w:b/>
          <w:bCs/>
        </w:rPr>
        <w:t>he</w:t>
      </w:r>
      <w:r w:rsidR="00DD21BA" w:rsidRPr="00BF2C58">
        <w:rPr>
          <w:b/>
        </w:rPr>
        <w:t xml:space="preserve"> most</w:t>
      </w:r>
      <w:r w:rsidR="00DD21BA" w:rsidRPr="00AD270A">
        <w:rPr>
          <w:b/>
        </w:rPr>
        <w:t xml:space="preserve"> </w:t>
      </w:r>
      <w:r w:rsidR="00DD21BA">
        <w:rPr>
          <w:b/>
        </w:rPr>
        <w:t>important thing you can include in your comment is that we need a 180-day extension in order to prepare our response properly.</w:t>
      </w:r>
    </w:p>
    <w:p w14:paraId="09F42E7B" w14:textId="77777777" w:rsidR="005A7C03" w:rsidRDefault="005A7C03" w:rsidP="00937CEB">
      <w:pPr>
        <w:pStyle w:val="ListParagraph"/>
        <w:ind w:left="0"/>
      </w:pPr>
    </w:p>
    <w:p w14:paraId="702680D6" w14:textId="1159851A" w:rsidR="00BF2C58" w:rsidRDefault="00BF2C58" w:rsidP="00937CEB">
      <w:pPr>
        <w:pStyle w:val="ListParagraph"/>
        <w:ind w:left="0"/>
      </w:pPr>
      <w:r>
        <w:t xml:space="preserve">Here are some notes to help you </w:t>
      </w:r>
      <w:r w:rsidR="00C632A0">
        <w:t>with</w:t>
      </w:r>
      <w:r>
        <w:t xml:space="preserve"> your comment:</w:t>
      </w:r>
    </w:p>
    <w:p w14:paraId="10298F53" w14:textId="77777777" w:rsidR="00BF2C58" w:rsidRDefault="00BF2C58" w:rsidP="00937CEB">
      <w:pPr>
        <w:pStyle w:val="ListParagraph"/>
        <w:ind w:left="0"/>
      </w:pPr>
    </w:p>
    <w:p w14:paraId="660A6754" w14:textId="3E995E17" w:rsidR="00DD21BA" w:rsidRPr="00B41EE0" w:rsidRDefault="00DD21BA" w:rsidP="00DD21BA">
      <w:pPr>
        <w:pStyle w:val="ListParagraph"/>
        <w:numPr>
          <w:ilvl w:val="0"/>
          <w:numId w:val="5"/>
        </w:numPr>
        <w:rPr>
          <w:b/>
        </w:rPr>
      </w:pPr>
      <w:r w:rsidRPr="00B41EE0">
        <w:rPr>
          <w:b/>
        </w:rPr>
        <w:t>I request that the FDA grant a 180-day extension to the Notice-and-Comment Period for this Draft Guidance.</w:t>
      </w:r>
    </w:p>
    <w:p w14:paraId="1CBB7425" w14:textId="77777777" w:rsidR="00DD21BA" w:rsidRDefault="00DD21BA" w:rsidP="00DD21BA">
      <w:pPr>
        <w:pStyle w:val="ListParagraph"/>
      </w:pPr>
    </w:p>
    <w:p w14:paraId="2FC2601A" w14:textId="72FF5324" w:rsidR="00DD21BA" w:rsidRDefault="00DD21BA" w:rsidP="00DD21BA">
      <w:pPr>
        <w:pStyle w:val="ListParagraph"/>
        <w:numPr>
          <w:ilvl w:val="0"/>
          <w:numId w:val="5"/>
        </w:numPr>
      </w:pPr>
      <w:r>
        <w:t>I am grateful to the FDA for responding to the concerns of the homeopathy community by issuing a revised Draft Guidance.</w:t>
      </w:r>
    </w:p>
    <w:p w14:paraId="0527B55A" w14:textId="77777777" w:rsidR="00C632A0" w:rsidRDefault="00C632A0" w:rsidP="00C632A0"/>
    <w:p w14:paraId="3EA6C1B2" w14:textId="77777777" w:rsidR="00C632A0" w:rsidRDefault="00C632A0" w:rsidP="00C632A0">
      <w:pPr>
        <w:pStyle w:val="ListParagraph"/>
        <w:numPr>
          <w:ilvl w:val="0"/>
          <w:numId w:val="5"/>
        </w:numPr>
      </w:pPr>
      <w:r>
        <w:t>I request that the FDA revise the Draft Guidance to reflect the following:</w:t>
      </w:r>
    </w:p>
    <w:p w14:paraId="1E61A634" w14:textId="77777777" w:rsidR="00C632A0" w:rsidRDefault="00C632A0" w:rsidP="00C632A0">
      <w:pPr>
        <w:pStyle w:val="ListParagraph"/>
      </w:pPr>
    </w:p>
    <w:p w14:paraId="2331D8E2" w14:textId="77777777" w:rsidR="00C632A0" w:rsidRDefault="00C632A0" w:rsidP="00C632A0">
      <w:pPr>
        <w:pStyle w:val="ListParagraph"/>
        <w:numPr>
          <w:ilvl w:val="0"/>
          <w:numId w:val="11"/>
        </w:numPr>
      </w:pPr>
      <w:r>
        <w:t xml:space="preserve">Homeopathic medicines are nontoxic and inherently safe when properly </w:t>
      </w:r>
      <w:proofErr w:type="gramStart"/>
      <w:r>
        <w:t>manufactured</w:t>
      </w:r>
      <w:proofErr w:type="gramEnd"/>
      <w:r>
        <w:t xml:space="preserve"> and labeled.</w:t>
      </w:r>
    </w:p>
    <w:p w14:paraId="4A5A0E39" w14:textId="77777777" w:rsidR="00C632A0" w:rsidRDefault="00C632A0" w:rsidP="00C632A0">
      <w:pPr>
        <w:ind w:left="720"/>
      </w:pPr>
    </w:p>
    <w:p w14:paraId="7BE07C6A" w14:textId="77777777" w:rsidR="00C632A0" w:rsidRDefault="00C632A0" w:rsidP="00C632A0">
      <w:pPr>
        <w:pStyle w:val="ListParagraph"/>
        <w:numPr>
          <w:ilvl w:val="0"/>
          <w:numId w:val="11"/>
        </w:numPr>
      </w:pPr>
      <w:r>
        <w:t>Homeopathic medicines are not “new drugs.”</w:t>
      </w:r>
    </w:p>
    <w:p w14:paraId="6E11FB4C" w14:textId="77777777" w:rsidR="00C632A0" w:rsidRDefault="00C632A0" w:rsidP="00C632A0"/>
    <w:p w14:paraId="42E27823" w14:textId="77777777" w:rsidR="00C632A0" w:rsidRPr="00130846" w:rsidRDefault="00C632A0" w:rsidP="00C632A0">
      <w:pPr>
        <w:pStyle w:val="ListParagraph"/>
        <w:numPr>
          <w:ilvl w:val="0"/>
          <w:numId w:val="11"/>
        </w:numPr>
      </w:pPr>
      <w:r>
        <w:t xml:space="preserve">The agency’s risk-based approach </w:t>
      </w:r>
      <w:proofErr w:type="gramStart"/>
      <w:r>
        <w:t>will be applied</w:t>
      </w:r>
      <w:proofErr w:type="gramEnd"/>
      <w:r>
        <w:t xml:space="preserve"> to the FDA’s own enforcement process by examining the relative risk of each category of </w:t>
      </w:r>
      <w:r>
        <w:lastRenderedPageBreak/>
        <w:t>products it regulates. This would almost certainly put homeopathic medicines at the bottom of the list because they are nontoxic and inherently safe.</w:t>
      </w:r>
    </w:p>
    <w:p w14:paraId="7679ABE8" w14:textId="77777777" w:rsidR="005A7C03" w:rsidRDefault="005A7C03" w:rsidP="005A7C03">
      <w:pPr>
        <w:ind w:left="360"/>
      </w:pPr>
    </w:p>
    <w:p w14:paraId="180E47C4" w14:textId="16F82B64" w:rsidR="005A7C03" w:rsidRDefault="00C632A0" w:rsidP="005A7C03">
      <w:pPr>
        <w:pStyle w:val="ListParagraph"/>
        <w:numPr>
          <w:ilvl w:val="0"/>
          <w:numId w:val="5"/>
        </w:numPr>
      </w:pPr>
      <w:r>
        <w:t>T</w:t>
      </w:r>
      <w:r w:rsidR="005A7C03">
        <w:t>he Draft Guidance threatens all of homeopathy.</w:t>
      </w:r>
    </w:p>
    <w:p w14:paraId="1BEFFB5C" w14:textId="77777777" w:rsidR="005A7C03" w:rsidRDefault="005A7C03" w:rsidP="005A7C03">
      <w:pPr>
        <w:pStyle w:val="ListParagraph"/>
      </w:pPr>
    </w:p>
    <w:p w14:paraId="1B3F0949" w14:textId="6A95120E" w:rsidR="005A7C03" w:rsidRDefault="005A7C03" w:rsidP="00BF2C58">
      <w:pPr>
        <w:pStyle w:val="ListParagraph"/>
        <w:numPr>
          <w:ilvl w:val="0"/>
          <w:numId w:val="9"/>
        </w:numPr>
      </w:pPr>
      <w:r>
        <w:t>It allows the FDA to withdraw</w:t>
      </w:r>
      <w:r w:rsidR="00DD21BA">
        <w:t xml:space="preserve"> </w:t>
      </w:r>
      <w:r w:rsidR="004351A3">
        <w:t xml:space="preserve">across all manufacturers any </w:t>
      </w:r>
      <w:r w:rsidR="00DD21BA">
        <w:t xml:space="preserve">nontoxic, </w:t>
      </w:r>
      <w:r>
        <w:t xml:space="preserve">inherently </w:t>
      </w:r>
      <w:r w:rsidR="00DD21BA">
        <w:t xml:space="preserve">safe single homeopathic ingredient </w:t>
      </w:r>
      <w:r w:rsidR="004351A3">
        <w:t xml:space="preserve">both in single-ingredient </w:t>
      </w:r>
      <w:r>
        <w:t xml:space="preserve">medicines </w:t>
      </w:r>
      <w:r w:rsidR="004351A3">
        <w:t xml:space="preserve">and all combination products containing a particular homeopathic ingredient even when in products </w:t>
      </w:r>
      <w:proofErr w:type="gramStart"/>
      <w:r w:rsidR="004351A3">
        <w:t>that are</w:t>
      </w:r>
      <w:proofErr w:type="gramEnd"/>
      <w:r w:rsidR="004351A3">
        <w:t xml:space="preserve"> properly manufactured and labeled.</w:t>
      </w:r>
    </w:p>
    <w:p w14:paraId="1F00B783" w14:textId="77777777" w:rsidR="006F3953" w:rsidRDefault="006F3953" w:rsidP="006F3953">
      <w:pPr>
        <w:pStyle w:val="ListParagraph"/>
        <w:ind w:left="1080"/>
      </w:pPr>
    </w:p>
    <w:p w14:paraId="6AEA90DE" w14:textId="7EFA4F1C" w:rsidR="005A7C03" w:rsidRDefault="005A7C03" w:rsidP="00BF2C58">
      <w:pPr>
        <w:pStyle w:val="ListParagraph"/>
        <w:numPr>
          <w:ilvl w:val="0"/>
          <w:numId w:val="9"/>
        </w:numPr>
      </w:pPr>
      <w:r>
        <w:t>A review of public FDA records by Americans for Homeopathy Choice</w:t>
      </w:r>
      <w:r w:rsidR="00AC60C4">
        <w:t xml:space="preserve"> did not find a single instance of a safety concern involving properly manufactured and labeled homeopathic medicines.</w:t>
      </w:r>
    </w:p>
    <w:p w14:paraId="798CE75D" w14:textId="77777777" w:rsidR="006F3953" w:rsidRDefault="006F3953" w:rsidP="006F3953"/>
    <w:p w14:paraId="0DE9B097" w14:textId="2F9B486C" w:rsidR="00AC60C4" w:rsidRDefault="00AC60C4" w:rsidP="00BF2C58">
      <w:pPr>
        <w:pStyle w:val="ListParagraph"/>
        <w:numPr>
          <w:ilvl w:val="0"/>
          <w:numId w:val="9"/>
        </w:numPr>
      </w:pPr>
      <w:r>
        <w:t>All problems cited by the FDA involved improperly manufactured and/or labeled products.</w:t>
      </w:r>
    </w:p>
    <w:p w14:paraId="293D0656" w14:textId="77777777" w:rsidR="006F3953" w:rsidRDefault="006F3953" w:rsidP="006F3953"/>
    <w:p w14:paraId="779BD084" w14:textId="21A68D0A" w:rsidR="00AC60C4" w:rsidRDefault="00103735" w:rsidP="00BF2C58">
      <w:pPr>
        <w:pStyle w:val="ListParagraph"/>
        <w:numPr>
          <w:ilvl w:val="0"/>
          <w:numId w:val="9"/>
        </w:numPr>
      </w:pPr>
      <w:r>
        <w:t xml:space="preserve">I am concerned that the FDA intends to remove nontoxic, inherently safe homeopathic </w:t>
      </w:r>
      <w:r w:rsidR="004B5EEF">
        <w:t>medicines</w:t>
      </w:r>
      <w:r w:rsidR="00B41EE0">
        <w:t xml:space="preserve"> mentioned in its public statements</w:t>
      </w:r>
      <w:r w:rsidR="00D8384E">
        <w:t xml:space="preserve"> such as Belladonna, </w:t>
      </w:r>
      <w:proofErr w:type="spellStart"/>
      <w:r w:rsidR="00D8384E">
        <w:t>Nux</w:t>
      </w:r>
      <w:proofErr w:type="spellEnd"/>
      <w:r w:rsidR="00D8384E">
        <w:t xml:space="preserve"> vomica and </w:t>
      </w:r>
      <w:proofErr w:type="spellStart"/>
      <w:r w:rsidR="00D8384E">
        <w:t>Lachesis</w:t>
      </w:r>
      <w:proofErr w:type="spellEnd"/>
      <w:r w:rsidR="00D8384E">
        <w:t xml:space="preserve"> </w:t>
      </w:r>
      <w:proofErr w:type="spellStart"/>
      <w:r w:rsidR="00D8384E">
        <w:t>m</w:t>
      </w:r>
      <w:r>
        <w:t>uta</w:t>
      </w:r>
      <w:proofErr w:type="spellEnd"/>
      <w:r w:rsidR="00B41EE0">
        <w:t xml:space="preserve"> </w:t>
      </w:r>
      <w:r w:rsidR="00DD21BA">
        <w:t>even when they are properly manufactured and labeled</w:t>
      </w:r>
      <w:r>
        <w:t>.</w:t>
      </w:r>
    </w:p>
    <w:p w14:paraId="3234AAA7" w14:textId="77777777" w:rsidR="006F3953" w:rsidRDefault="006F3953" w:rsidP="006F3953"/>
    <w:p w14:paraId="5384214E" w14:textId="73E288FC" w:rsidR="00103735" w:rsidRDefault="004351A3" w:rsidP="00BF2C58">
      <w:pPr>
        <w:pStyle w:val="ListParagraph"/>
        <w:numPr>
          <w:ilvl w:val="0"/>
          <w:numId w:val="9"/>
        </w:numPr>
      </w:pPr>
      <w:r>
        <w:t xml:space="preserve">The </w:t>
      </w:r>
      <w:r w:rsidR="00103735">
        <w:t>FDA’s claim that homeopat</w:t>
      </w:r>
      <w:r w:rsidR="00B41EE0">
        <w:t>hic medicines are “new drugs” is</w:t>
      </w:r>
      <w:r w:rsidR="00103735">
        <w:t xml:space="preserve"> misguided and legally incorrect.</w:t>
      </w:r>
    </w:p>
    <w:p w14:paraId="77836B47" w14:textId="77777777" w:rsidR="006F3953" w:rsidRDefault="006F3953" w:rsidP="006F3953"/>
    <w:p w14:paraId="3A820033" w14:textId="371D70C4" w:rsidR="00103735" w:rsidRDefault="00103735" w:rsidP="00BF2C58">
      <w:pPr>
        <w:pStyle w:val="ListParagraph"/>
        <w:numPr>
          <w:ilvl w:val="0"/>
          <w:numId w:val="9"/>
        </w:numPr>
      </w:pPr>
      <w:r>
        <w:t>The 1962 amendment</w:t>
      </w:r>
      <w:r w:rsidR="004B5EEF">
        <w:t>s</w:t>
      </w:r>
      <w:r>
        <w:t xml:space="preserve"> to the Food, Drug and Co</w:t>
      </w:r>
      <w:r w:rsidR="00A2199F" w:rsidRPr="00C632A0">
        <w:t>s</w:t>
      </w:r>
      <w:r>
        <w:t xml:space="preserve">metic Act </w:t>
      </w:r>
      <w:proofErr w:type="gramStart"/>
      <w:r>
        <w:t>were designed</w:t>
      </w:r>
      <w:proofErr w:type="gramEnd"/>
      <w:r>
        <w:t xml:space="preserve"> to deal with inherently dangerous substances.</w:t>
      </w:r>
    </w:p>
    <w:p w14:paraId="32D6A750" w14:textId="77777777" w:rsidR="006F3953" w:rsidRDefault="006F3953" w:rsidP="006F3953"/>
    <w:p w14:paraId="6444A57C" w14:textId="38FF346E" w:rsidR="00103735" w:rsidRDefault="00103735" w:rsidP="00BF2C58">
      <w:pPr>
        <w:pStyle w:val="ListParagraph"/>
        <w:numPr>
          <w:ilvl w:val="0"/>
          <w:numId w:val="9"/>
        </w:numPr>
      </w:pPr>
      <w:r>
        <w:t xml:space="preserve">The process for New Drug Applications </w:t>
      </w:r>
      <w:proofErr w:type="gramStart"/>
      <w:r>
        <w:t>was created</w:t>
      </w:r>
      <w:proofErr w:type="gramEnd"/>
      <w:r>
        <w:t xml:space="preserve"> to determine whether the benefits of a proposed </w:t>
      </w:r>
      <w:r w:rsidR="004351A3">
        <w:t xml:space="preserve">inherently dangerous substance used as a </w:t>
      </w:r>
      <w:r>
        <w:t>drug outweigh the risks.</w:t>
      </w:r>
    </w:p>
    <w:p w14:paraId="016BB86B" w14:textId="0601E005" w:rsidR="006F3953" w:rsidRDefault="006F3953" w:rsidP="006F3953">
      <w:pPr>
        <w:pStyle w:val="ListParagraph"/>
        <w:ind w:left="1080"/>
      </w:pPr>
    </w:p>
    <w:p w14:paraId="265BCE55" w14:textId="7EB32BC0" w:rsidR="00103735" w:rsidRDefault="00103735" w:rsidP="00BF2C58">
      <w:pPr>
        <w:pStyle w:val="ListParagraph"/>
        <w:numPr>
          <w:ilvl w:val="0"/>
          <w:numId w:val="9"/>
        </w:numPr>
      </w:pPr>
      <w:r>
        <w:t>Since properly manufactured and labeled homeopathic medicines a</w:t>
      </w:r>
      <w:r w:rsidR="004351A3">
        <w:t>re nontoxic and inherently safe</w:t>
      </w:r>
      <w:r>
        <w:t>, there is no need to weigh risks against benefits.</w:t>
      </w:r>
    </w:p>
    <w:p w14:paraId="3550A1C5" w14:textId="77777777" w:rsidR="006F3953" w:rsidRDefault="006F3953" w:rsidP="006F3953"/>
    <w:p w14:paraId="684D489D" w14:textId="1991D6B9" w:rsidR="00103735" w:rsidRDefault="00103735" w:rsidP="00BF2C58">
      <w:pPr>
        <w:pStyle w:val="ListParagraph"/>
        <w:numPr>
          <w:ilvl w:val="0"/>
          <w:numId w:val="9"/>
        </w:numPr>
      </w:pPr>
      <w:r>
        <w:t xml:space="preserve">The New Drug Application simply </w:t>
      </w:r>
      <w:proofErr w:type="gramStart"/>
      <w:r>
        <w:t>doesn’t</w:t>
      </w:r>
      <w:proofErr w:type="gramEnd"/>
      <w:r>
        <w:t xml:space="preserve"> apply to </w:t>
      </w:r>
      <w:r w:rsidR="00B41EE0">
        <w:t>single</w:t>
      </w:r>
      <w:r>
        <w:t xml:space="preserve"> homeopathic </w:t>
      </w:r>
      <w:r w:rsidR="00B41EE0">
        <w:t xml:space="preserve">ingredient </w:t>
      </w:r>
      <w:r>
        <w:t>medicines in the Homeopathic Pharmacopeia of the United States</w:t>
      </w:r>
      <w:r w:rsidR="00B41EE0">
        <w:t xml:space="preserve"> and its supplements</w:t>
      </w:r>
      <w:r>
        <w:t xml:space="preserve">. Those medicines have already been tested for safety and effectiveness and undergone rigorous toxicological </w:t>
      </w:r>
      <w:r w:rsidR="004B5EEF">
        <w:t>review</w:t>
      </w:r>
      <w:r>
        <w:t>.</w:t>
      </w:r>
    </w:p>
    <w:p w14:paraId="4E8480EA" w14:textId="77777777" w:rsidR="00103735" w:rsidRDefault="00103735" w:rsidP="00103735"/>
    <w:p w14:paraId="517B7A71" w14:textId="48A9F659" w:rsidR="00103735" w:rsidRDefault="00103735" w:rsidP="00103735">
      <w:pPr>
        <w:pStyle w:val="ListParagraph"/>
        <w:numPr>
          <w:ilvl w:val="0"/>
          <w:numId w:val="5"/>
        </w:numPr>
      </w:pPr>
      <w:r>
        <w:t>The Draft Guide increases risk</w:t>
      </w:r>
      <w:r w:rsidR="004B5EEF">
        <w:t>s</w:t>
      </w:r>
      <w:r>
        <w:t xml:space="preserve"> to consumers.</w:t>
      </w:r>
    </w:p>
    <w:p w14:paraId="6BC36E18" w14:textId="77777777" w:rsidR="00103735" w:rsidRDefault="00103735" w:rsidP="00103735">
      <w:pPr>
        <w:pStyle w:val="ListParagraph"/>
      </w:pPr>
    </w:p>
    <w:p w14:paraId="5B60BD12" w14:textId="639F1340" w:rsidR="00103735" w:rsidRDefault="00103735" w:rsidP="00BF2C58">
      <w:pPr>
        <w:pStyle w:val="ListParagraph"/>
        <w:numPr>
          <w:ilvl w:val="0"/>
          <w:numId w:val="10"/>
        </w:numPr>
      </w:pPr>
      <w:r>
        <w:t>If consumers are denied access to nontoxic</w:t>
      </w:r>
      <w:r w:rsidR="00B41EE0">
        <w:t>, inherently safe</w:t>
      </w:r>
      <w:r>
        <w:t xml:space="preserve"> homeopathic medicine</w:t>
      </w:r>
      <w:r w:rsidR="00827DA6">
        <w:t xml:space="preserve"> applicable to their condition, they will seek out higher-risk alternatives including </w:t>
      </w:r>
      <w:proofErr w:type="gramStart"/>
      <w:r w:rsidR="00827DA6">
        <w:t>pharmaceuticals</w:t>
      </w:r>
      <w:r w:rsidR="00622B60">
        <w:t xml:space="preserve"> which</w:t>
      </w:r>
      <w:proofErr w:type="gramEnd"/>
      <w:r w:rsidR="00622B60">
        <w:t xml:space="preserve"> can have dangerous and even fatal side-effects</w:t>
      </w:r>
      <w:r w:rsidR="006F3953">
        <w:t>.</w:t>
      </w:r>
    </w:p>
    <w:p w14:paraId="19692CDB" w14:textId="77777777" w:rsidR="006F3953" w:rsidRDefault="006F3953" w:rsidP="006F3953">
      <w:pPr>
        <w:ind w:left="720"/>
      </w:pPr>
    </w:p>
    <w:p w14:paraId="56131CB9" w14:textId="0B67EB93" w:rsidR="006F3953" w:rsidRPr="006F3953" w:rsidRDefault="00B41EE0" w:rsidP="00BF2C58">
      <w:pPr>
        <w:pStyle w:val="ListParagraph"/>
        <w:numPr>
          <w:ilvl w:val="0"/>
          <w:numId w:val="10"/>
        </w:numPr>
      </w:pPr>
      <w:r>
        <w:rPr>
          <w:szCs w:val="24"/>
        </w:rPr>
        <w:lastRenderedPageBreak/>
        <w:t>N</w:t>
      </w:r>
      <w:r w:rsidR="006F3953" w:rsidRPr="008A35F6">
        <w:rPr>
          <w:szCs w:val="24"/>
        </w:rPr>
        <w:t>ontoxic</w:t>
      </w:r>
      <w:r>
        <w:rPr>
          <w:szCs w:val="24"/>
        </w:rPr>
        <w:t>, inherently</w:t>
      </w:r>
      <w:r w:rsidR="006F3953" w:rsidRPr="008A35F6">
        <w:rPr>
          <w:szCs w:val="24"/>
        </w:rPr>
        <w:t xml:space="preserve"> </w:t>
      </w:r>
      <w:r w:rsidR="004351A3">
        <w:rPr>
          <w:szCs w:val="24"/>
        </w:rPr>
        <w:t xml:space="preserve">safe </w:t>
      </w:r>
      <w:r w:rsidR="006F3953" w:rsidRPr="008A35F6">
        <w:rPr>
          <w:szCs w:val="24"/>
        </w:rPr>
        <w:t>homeopathic medicines</w:t>
      </w:r>
      <w:r w:rsidR="006F3953">
        <w:rPr>
          <w:szCs w:val="24"/>
        </w:rPr>
        <w:t xml:space="preserve"> may no longer be available to </w:t>
      </w:r>
      <w:r w:rsidR="004351A3">
        <w:rPr>
          <w:szCs w:val="24"/>
        </w:rPr>
        <w:t xml:space="preserve">consumers to </w:t>
      </w:r>
      <w:r w:rsidR="006F3953" w:rsidRPr="008A35F6">
        <w:rPr>
          <w:szCs w:val="24"/>
        </w:rPr>
        <w:t xml:space="preserve">help address infections without creating antibiotic resistance </w:t>
      </w:r>
      <w:r w:rsidR="006F3953">
        <w:rPr>
          <w:szCs w:val="24"/>
        </w:rPr>
        <w:t>or to</w:t>
      </w:r>
      <w:r w:rsidR="006F3953" w:rsidRPr="008A35F6">
        <w:rPr>
          <w:szCs w:val="24"/>
        </w:rPr>
        <w:t xml:space="preserve"> treat pain without </w:t>
      </w:r>
      <w:r w:rsidR="004351A3">
        <w:rPr>
          <w:szCs w:val="24"/>
        </w:rPr>
        <w:t>risking</w:t>
      </w:r>
      <w:r w:rsidR="006F3953" w:rsidRPr="008A35F6">
        <w:rPr>
          <w:szCs w:val="24"/>
        </w:rPr>
        <w:t xml:space="preserve"> opioid dependence and death.</w:t>
      </w:r>
    </w:p>
    <w:p w14:paraId="179B490A" w14:textId="77777777" w:rsidR="006F3953" w:rsidRPr="006F3953" w:rsidRDefault="006F3953" w:rsidP="006F3953"/>
    <w:p w14:paraId="1B456546" w14:textId="2061A788" w:rsidR="00C632A0" w:rsidRPr="00130846" w:rsidRDefault="006F3953" w:rsidP="00C632A0">
      <w:pPr>
        <w:pStyle w:val="ListParagraph"/>
        <w:numPr>
          <w:ilvl w:val="0"/>
          <w:numId w:val="10"/>
        </w:numPr>
      </w:pPr>
      <w:r w:rsidRPr="00C632A0">
        <w:rPr>
          <w:szCs w:val="24"/>
        </w:rPr>
        <w:t>The FDA’s risk-based approach as currently conceived would increase risk to consumers overall by disproportionately focusing the agency’s enforcement resources on nontoxic, inherently safe homeopathic medicines.</w:t>
      </w:r>
      <w:bookmarkStart w:id="0" w:name="_GoBack"/>
      <w:bookmarkEnd w:id="0"/>
    </w:p>
    <w:sectPr w:rsidR="00C632A0" w:rsidRPr="00130846" w:rsidSect="003F74D1">
      <w:head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298A4" w14:textId="77777777" w:rsidR="001124F3" w:rsidRDefault="001124F3" w:rsidP="003F74D1">
      <w:r>
        <w:separator/>
      </w:r>
    </w:p>
  </w:endnote>
  <w:endnote w:type="continuationSeparator" w:id="0">
    <w:p w14:paraId="618D1608" w14:textId="77777777" w:rsidR="001124F3" w:rsidRDefault="001124F3" w:rsidP="003F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E5FA0" w14:textId="77777777" w:rsidR="001124F3" w:rsidRDefault="001124F3" w:rsidP="003F74D1">
      <w:r>
        <w:separator/>
      </w:r>
    </w:p>
  </w:footnote>
  <w:footnote w:type="continuationSeparator" w:id="0">
    <w:p w14:paraId="5CAC9C32" w14:textId="77777777" w:rsidR="001124F3" w:rsidRDefault="001124F3" w:rsidP="003F7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elvetica" w:hAnsi="Helvetica"/>
        <w:b/>
      </w:rPr>
      <w:id w:val="1477648756"/>
      <w:docPartObj>
        <w:docPartGallery w:val="Page Numbers (Top of Page)"/>
        <w:docPartUnique/>
      </w:docPartObj>
    </w:sdtPr>
    <w:sdtEndPr/>
    <w:sdtContent>
      <w:p w14:paraId="31E792D6" w14:textId="2D938123" w:rsidR="003F74D1" w:rsidRPr="006F3953" w:rsidRDefault="00174A3C">
        <w:pPr>
          <w:pStyle w:val="Header"/>
          <w:jc w:val="right"/>
          <w:rPr>
            <w:rFonts w:ascii="Helvetica" w:hAnsi="Helvetica"/>
            <w:b/>
          </w:rPr>
        </w:pPr>
        <w:r>
          <w:rPr>
            <w:rFonts w:ascii="Helvetica" w:hAnsi="Helvetica"/>
            <w:b/>
          </w:rPr>
          <w:t>Background</w:t>
        </w:r>
        <w:r w:rsidR="006F3953" w:rsidRPr="006F3953">
          <w:rPr>
            <w:rFonts w:ascii="Helvetica" w:hAnsi="Helvetica"/>
            <w:b/>
          </w:rPr>
          <w:t xml:space="preserve"> for FDA Comment</w:t>
        </w:r>
        <w:r w:rsidR="003F74D1" w:rsidRPr="006F3953">
          <w:rPr>
            <w:rFonts w:ascii="Helvetica" w:hAnsi="Helvetica"/>
            <w:b/>
          </w:rPr>
          <w:t xml:space="preserve"> ─ Page </w:t>
        </w:r>
        <w:r w:rsidR="003F74D1" w:rsidRPr="006F3953">
          <w:rPr>
            <w:rFonts w:ascii="Helvetica" w:hAnsi="Helvetica"/>
            <w:b/>
            <w:bCs/>
            <w:szCs w:val="24"/>
          </w:rPr>
          <w:fldChar w:fldCharType="begin"/>
        </w:r>
        <w:r w:rsidR="003F74D1" w:rsidRPr="006F3953">
          <w:rPr>
            <w:rFonts w:ascii="Helvetica" w:hAnsi="Helvetica"/>
            <w:b/>
            <w:bCs/>
          </w:rPr>
          <w:instrText xml:space="preserve"> PAGE </w:instrText>
        </w:r>
        <w:r w:rsidR="003F74D1" w:rsidRPr="006F3953">
          <w:rPr>
            <w:rFonts w:ascii="Helvetica" w:hAnsi="Helvetica"/>
            <w:b/>
            <w:bCs/>
            <w:szCs w:val="24"/>
          </w:rPr>
          <w:fldChar w:fldCharType="separate"/>
        </w:r>
        <w:r w:rsidR="00C632A0">
          <w:rPr>
            <w:rFonts w:ascii="Helvetica" w:hAnsi="Helvetica"/>
            <w:b/>
            <w:bCs/>
            <w:noProof/>
          </w:rPr>
          <w:t>2</w:t>
        </w:r>
        <w:r w:rsidR="003F74D1" w:rsidRPr="006F3953">
          <w:rPr>
            <w:rFonts w:ascii="Helvetica" w:hAnsi="Helvetica"/>
            <w:b/>
            <w:bCs/>
            <w:szCs w:val="24"/>
          </w:rPr>
          <w:fldChar w:fldCharType="end"/>
        </w:r>
        <w:r w:rsidR="003F74D1" w:rsidRPr="006F3953">
          <w:rPr>
            <w:rFonts w:ascii="Helvetica" w:hAnsi="Helvetica"/>
            <w:b/>
          </w:rPr>
          <w:t xml:space="preserve"> of </w:t>
        </w:r>
        <w:r w:rsidR="003F74D1" w:rsidRPr="006F3953">
          <w:rPr>
            <w:rFonts w:ascii="Helvetica" w:hAnsi="Helvetica"/>
            <w:b/>
            <w:bCs/>
            <w:szCs w:val="24"/>
          </w:rPr>
          <w:fldChar w:fldCharType="begin"/>
        </w:r>
        <w:r w:rsidR="003F74D1" w:rsidRPr="006F3953">
          <w:rPr>
            <w:rFonts w:ascii="Helvetica" w:hAnsi="Helvetica"/>
            <w:b/>
            <w:bCs/>
          </w:rPr>
          <w:instrText xml:space="preserve"> NUMPAGES  </w:instrText>
        </w:r>
        <w:r w:rsidR="003F74D1" w:rsidRPr="006F3953">
          <w:rPr>
            <w:rFonts w:ascii="Helvetica" w:hAnsi="Helvetica"/>
            <w:b/>
            <w:bCs/>
            <w:szCs w:val="24"/>
          </w:rPr>
          <w:fldChar w:fldCharType="separate"/>
        </w:r>
        <w:r w:rsidR="00C632A0">
          <w:rPr>
            <w:rFonts w:ascii="Helvetica" w:hAnsi="Helvetica"/>
            <w:b/>
            <w:bCs/>
            <w:noProof/>
          </w:rPr>
          <w:t>3</w:t>
        </w:r>
        <w:r w:rsidR="003F74D1" w:rsidRPr="006F3953">
          <w:rPr>
            <w:rFonts w:ascii="Helvetica" w:hAnsi="Helvetica"/>
            <w:b/>
            <w:bCs/>
            <w:szCs w:val="24"/>
          </w:rPr>
          <w:fldChar w:fldCharType="end"/>
        </w:r>
      </w:p>
    </w:sdtContent>
  </w:sdt>
  <w:p w14:paraId="32945A10" w14:textId="08871241" w:rsidR="003F74D1" w:rsidRPr="003F74D1" w:rsidRDefault="006F3953">
    <w:pPr>
      <w:pStyle w:val="Header"/>
      <w:rPr>
        <w:rFonts w:ascii="Helvetica" w:hAnsi="Helvetica"/>
        <w:b/>
        <w:color w:val="0070C0"/>
      </w:rPr>
    </w:pPr>
    <w:r w:rsidRPr="00372F33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3ED01" wp14:editId="63892AE3">
              <wp:simplePos x="0" y="0"/>
              <wp:positionH relativeFrom="column">
                <wp:posOffset>58420</wp:posOffset>
              </wp:positionH>
              <wp:positionV relativeFrom="paragraph">
                <wp:posOffset>63500</wp:posOffset>
              </wp:positionV>
              <wp:extent cx="589597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BE9CE23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pt,5pt" to="468.85pt,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yA5Q3AEAAA4EAAAOAAAAZHJzL2Uyb0RvYy54bWysU02P0zAQvSPxHyzfadJqy+5GTffQ1XJB ULHwA1zHbizZHmtsmvTfM3ba7AqQEIgcHH/MezPvebx5GJ1lJ4XRgG/5clFzpryEzvhjy799fXp3 x1lMwnfCglctP6vIH7Zv32yG0KgV9GA7hYxIfGyG0PI+pdBUVZS9ciIuIChPhxrQiURLPFYdioHY na1Wdf2+GgC7gCBVjLT7OB3ybeHXWsn0WeuoErMtp9pSGbGMhzxW241ojihCb+SlDPEPVThhPCWd qR5FEuw7ml+onJEIEXRaSHAVaG2kKhpIzbL+Sc1zL4IqWsicGGab4v+jlZ9Oe2Sma/kNZ144uqLn hMIc+8R24D0ZCMhusk9DiA2F7/weL6sY9phFjxpd/pMcNhZvz7O3akxM0ub67n59f7vmTF7Pqhdg wJg+KHAsT1pujc+yRSNOH2OiZBR6Dcnb1rOh5Sv61iUsgjXdk7E2H0Y8HnYW2UnkK69v6125ZaJ4 FUYr64k3a5pUlFk6WzUl+KI0uUJ1L6cMuR/VTCukVD4tsyuFiaIzTFMJM7D+M/ASn6Gq9OrfgGdE yQw+zWBnPODvsqfxWrKe4q8OTLqzBQfozuV+izXUdEXh5YHkrn69LvCXZ7z9AQAA//8DAFBLAwQU AAYACAAAACEASTdS8uAAAAAMAQAADwAAAGRycy9kb3ducmV2LnhtbExPTU/DMAy9I/EfIiNxQSzd hjbWNZ34EBMXpNGNe5p4bbXGKU22lX+PEQe4WPJ79vvIVoNrxQn70HhSMB4lIJCMtw1VCnbbl9t7 ECFqsrr1hAq+MMAqv7zIdGr9md7xVMRKsAiFVCuoY+xSKYOp0ekw8h0Sc3vfOx157Stpe31mcdfK SZLMpNMNsUOtO3yq0RyKo1OwLjc3r48f27tpUe53a/Np3qQPSl1fDc9LHg9LEBGH+PcBPx04P+Qc rPRHskG0ChYTPmQ44VpML6bzOYjyF5B5Jv+XyL8BAAD//wMAUEsBAi0AFAAGAAgAAAAhALaDOJL+ AAAA4QEAABMAAAAAAAAAAAAAAAAAAAAAAFtDb250ZW50X1R5cGVzXS54bWxQSwECLQAUAAYACAAA ACEAOP0h/9YAAACUAQAACwAAAAAAAAAAAAAAAAAvAQAAX3JlbHMvLnJlbHNQSwECLQAUAAYACAAA ACEAZ8gOUNwBAAAOBAAADgAAAAAAAAAAAAAAAAAuAgAAZHJzL2Uyb0RvYy54bWxQSwECLQAUAAYA CAAAACEASTdS8uAAAAAMAQAADwAAAAAAAAAAAAAAAAA2BAAAZHJzL2Rvd25yZXYueG1sUEsFBgAA AAAEAAQA8wAAAEMFAAAAAA== " strokecolor="#0070c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4DC"/>
    <w:multiLevelType w:val="hybridMultilevel"/>
    <w:tmpl w:val="12C6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62A"/>
    <w:multiLevelType w:val="hybridMultilevel"/>
    <w:tmpl w:val="637AC3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06042"/>
    <w:multiLevelType w:val="hybridMultilevel"/>
    <w:tmpl w:val="296E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4000A"/>
    <w:multiLevelType w:val="hybridMultilevel"/>
    <w:tmpl w:val="66B497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AE31ED"/>
    <w:multiLevelType w:val="hybridMultilevel"/>
    <w:tmpl w:val="314A3A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0C7633"/>
    <w:multiLevelType w:val="hybridMultilevel"/>
    <w:tmpl w:val="C8D8A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96726"/>
    <w:multiLevelType w:val="hybridMultilevel"/>
    <w:tmpl w:val="3F809B98"/>
    <w:lvl w:ilvl="0" w:tplc="59129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BA51D6"/>
    <w:multiLevelType w:val="hybridMultilevel"/>
    <w:tmpl w:val="4AD64960"/>
    <w:lvl w:ilvl="0" w:tplc="668ED1CE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B01A31"/>
    <w:multiLevelType w:val="hybridMultilevel"/>
    <w:tmpl w:val="01127E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D72AC9"/>
    <w:multiLevelType w:val="hybridMultilevel"/>
    <w:tmpl w:val="B1FA3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22CCA"/>
    <w:multiLevelType w:val="hybridMultilevel"/>
    <w:tmpl w:val="F3A6E116"/>
    <w:lvl w:ilvl="0" w:tplc="53C4E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334FB6"/>
    <w:multiLevelType w:val="hybridMultilevel"/>
    <w:tmpl w:val="5B94B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27F78"/>
    <w:multiLevelType w:val="hybridMultilevel"/>
    <w:tmpl w:val="C9CABD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9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81"/>
    <w:rsid w:val="00011BCE"/>
    <w:rsid w:val="00074851"/>
    <w:rsid w:val="000813DA"/>
    <w:rsid w:val="000A309D"/>
    <w:rsid w:val="000C52B6"/>
    <w:rsid w:val="000C77C3"/>
    <w:rsid w:val="000E0AD3"/>
    <w:rsid w:val="000E68EF"/>
    <w:rsid w:val="00103735"/>
    <w:rsid w:val="00104768"/>
    <w:rsid w:val="001124F3"/>
    <w:rsid w:val="00130846"/>
    <w:rsid w:val="00155079"/>
    <w:rsid w:val="00166E53"/>
    <w:rsid w:val="00172234"/>
    <w:rsid w:val="00174A3C"/>
    <w:rsid w:val="001A611D"/>
    <w:rsid w:val="001C5A40"/>
    <w:rsid w:val="00233920"/>
    <w:rsid w:val="00247A2E"/>
    <w:rsid w:val="00262A08"/>
    <w:rsid w:val="002853FC"/>
    <w:rsid w:val="0029156C"/>
    <w:rsid w:val="002C57AC"/>
    <w:rsid w:val="002F1B58"/>
    <w:rsid w:val="00302CA5"/>
    <w:rsid w:val="0030552C"/>
    <w:rsid w:val="00335CC3"/>
    <w:rsid w:val="00352930"/>
    <w:rsid w:val="003556A8"/>
    <w:rsid w:val="003561C9"/>
    <w:rsid w:val="00363D31"/>
    <w:rsid w:val="00375A70"/>
    <w:rsid w:val="003841D3"/>
    <w:rsid w:val="00384B9C"/>
    <w:rsid w:val="003858B6"/>
    <w:rsid w:val="003928E8"/>
    <w:rsid w:val="003D7F54"/>
    <w:rsid w:val="003F74D1"/>
    <w:rsid w:val="004351A3"/>
    <w:rsid w:val="00473444"/>
    <w:rsid w:val="00487D1A"/>
    <w:rsid w:val="004B5EEF"/>
    <w:rsid w:val="004F6B4F"/>
    <w:rsid w:val="005164ED"/>
    <w:rsid w:val="00523A95"/>
    <w:rsid w:val="00557351"/>
    <w:rsid w:val="00572481"/>
    <w:rsid w:val="005730B7"/>
    <w:rsid w:val="005A7C03"/>
    <w:rsid w:val="005D4623"/>
    <w:rsid w:val="005E154E"/>
    <w:rsid w:val="005E6C2F"/>
    <w:rsid w:val="005F11DD"/>
    <w:rsid w:val="006138E5"/>
    <w:rsid w:val="00622B60"/>
    <w:rsid w:val="006250B2"/>
    <w:rsid w:val="00696ECA"/>
    <w:rsid w:val="006B76CA"/>
    <w:rsid w:val="006F3953"/>
    <w:rsid w:val="007017DB"/>
    <w:rsid w:val="00717581"/>
    <w:rsid w:val="007B22FB"/>
    <w:rsid w:val="007C4222"/>
    <w:rsid w:val="007E53C9"/>
    <w:rsid w:val="007F7842"/>
    <w:rsid w:val="008024B0"/>
    <w:rsid w:val="00824D54"/>
    <w:rsid w:val="00827DA6"/>
    <w:rsid w:val="00861E13"/>
    <w:rsid w:val="008A35F6"/>
    <w:rsid w:val="008D462E"/>
    <w:rsid w:val="00935027"/>
    <w:rsid w:val="00937CEB"/>
    <w:rsid w:val="009423C7"/>
    <w:rsid w:val="00946D3B"/>
    <w:rsid w:val="00954A2A"/>
    <w:rsid w:val="00956778"/>
    <w:rsid w:val="00967691"/>
    <w:rsid w:val="009815D8"/>
    <w:rsid w:val="00982CE9"/>
    <w:rsid w:val="00996D69"/>
    <w:rsid w:val="009974E8"/>
    <w:rsid w:val="009A323F"/>
    <w:rsid w:val="009B0D88"/>
    <w:rsid w:val="009C31E6"/>
    <w:rsid w:val="009C74EF"/>
    <w:rsid w:val="00A036CD"/>
    <w:rsid w:val="00A2199F"/>
    <w:rsid w:val="00A26DF2"/>
    <w:rsid w:val="00A343DA"/>
    <w:rsid w:val="00A368AE"/>
    <w:rsid w:val="00A52D84"/>
    <w:rsid w:val="00A611AB"/>
    <w:rsid w:val="00A73272"/>
    <w:rsid w:val="00A87A96"/>
    <w:rsid w:val="00AA53D2"/>
    <w:rsid w:val="00AC60C4"/>
    <w:rsid w:val="00AD270A"/>
    <w:rsid w:val="00AE35E9"/>
    <w:rsid w:val="00B07BA9"/>
    <w:rsid w:val="00B22D53"/>
    <w:rsid w:val="00B23262"/>
    <w:rsid w:val="00B41EE0"/>
    <w:rsid w:val="00B535E2"/>
    <w:rsid w:val="00B75DE1"/>
    <w:rsid w:val="00B8787F"/>
    <w:rsid w:val="00BA7E0E"/>
    <w:rsid w:val="00BB7B48"/>
    <w:rsid w:val="00BC3D31"/>
    <w:rsid w:val="00BC5252"/>
    <w:rsid w:val="00BC6783"/>
    <w:rsid w:val="00BF13CB"/>
    <w:rsid w:val="00BF2C58"/>
    <w:rsid w:val="00C126EB"/>
    <w:rsid w:val="00C15443"/>
    <w:rsid w:val="00C175D7"/>
    <w:rsid w:val="00C4714A"/>
    <w:rsid w:val="00C632A0"/>
    <w:rsid w:val="00CA3DFE"/>
    <w:rsid w:val="00CD1DB9"/>
    <w:rsid w:val="00CE52BE"/>
    <w:rsid w:val="00CF6EEA"/>
    <w:rsid w:val="00D01FBA"/>
    <w:rsid w:val="00D02125"/>
    <w:rsid w:val="00D031C8"/>
    <w:rsid w:val="00D069A1"/>
    <w:rsid w:val="00D35ED4"/>
    <w:rsid w:val="00D4262E"/>
    <w:rsid w:val="00D50AE9"/>
    <w:rsid w:val="00D8384E"/>
    <w:rsid w:val="00D85B5E"/>
    <w:rsid w:val="00D86288"/>
    <w:rsid w:val="00D97EA4"/>
    <w:rsid w:val="00DB146F"/>
    <w:rsid w:val="00DB2860"/>
    <w:rsid w:val="00DD21BA"/>
    <w:rsid w:val="00DD2331"/>
    <w:rsid w:val="00E12EBC"/>
    <w:rsid w:val="00E16603"/>
    <w:rsid w:val="00E21F46"/>
    <w:rsid w:val="00E3067A"/>
    <w:rsid w:val="00E30E7B"/>
    <w:rsid w:val="00E55919"/>
    <w:rsid w:val="00E76F31"/>
    <w:rsid w:val="00E9084A"/>
    <w:rsid w:val="00EA0FC1"/>
    <w:rsid w:val="00EC15B2"/>
    <w:rsid w:val="00EC2F93"/>
    <w:rsid w:val="00EE6A29"/>
    <w:rsid w:val="00F22FD8"/>
    <w:rsid w:val="00F34233"/>
    <w:rsid w:val="00FC0BA5"/>
    <w:rsid w:val="00FC0CA7"/>
    <w:rsid w:val="00FC3F22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0B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481"/>
    <w:pPr>
      <w:ind w:left="720"/>
      <w:contextualSpacing/>
    </w:pPr>
  </w:style>
  <w:style w:type="table" w:styleId="TableGrid">
    <w:name w:val="Table Grid"/>
    <w:basedOn w:val="TableNormal"/>
    <w:uiPriority w:val="59"/>
    <w:rsid w:val="00392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73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0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0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0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B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7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4D1"/>
  </w:style>
  <w:style w:type="paragraph" w:styleId="Footer">
    <w:name w:val="footer"/>
    <w:basedOn w:val="Normal"/>
    <w:link w:val="FooterChar"/>
    <w:uiPriority w:val="99"/>
    <w:unhideWhenUsed/>
    <w:rsid w:val="003F7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481"/>
    <w:pPr>
      <w:ind w:left="720"/>
      <w:contextualSpacing/>
    </w:pPr>
  </w:style>
  <w:style w:type="table" w:styleId="TableGrid">
    <w:name w:val="Table Grid"/>
    <w:basedOn w:val="TableNormal"/>
    <w:uiPriority w:val="59"/>
    <w:rsid w:val="00392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73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0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0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0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B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7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4D1"/>
  </w:style>
  <w:style w:type="paragraph" w:styleId="Footer">
    <w:name w:val="footer"/>
    <w:basedOn w:val="Normal"/>
    <w:link w:val="FooterChar"/>
    <w:uiPriority w:val="99"/>
    <w:unhideWhenUsed/>
    <w:rsid w:val="003F7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opathychoice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</dc:creator>
  <cp:keywords/>
  <dc:description/>
  <cp:lastModifiedBy>Kurt</cp:lastModifiedBy>
  <cp:revision>3</cp:revision>
  <cp:lastPrinted>2019-11-22T17:07:00Z</cp:lastPrinted>
  <dcterms:created xsi:type="dcterms:W3CDTF">2019-11-22T17:07:00Z</dcterms:created>
  <dcterms:modified xsi:type="dcterms:W3CDTF">2019-11-22T17:16:00Z</dcterms:modified>
</cp:coreProperties>
</file>